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895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4"/>
        </w:rPr>
      </w:pPr>
      <w:r>
        <w:drawing>
          <wp:inline xmlns:wp="http://schemas.openxmlformats.org/drawingml/2006/wordprocessingDrawing">
            <wp:extent cx="3790950" cy="12192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19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Красноярская Служба Дезинфекции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Коммерческое предложение по профилактической дезинфекции от COVID-19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>Наша организация предлагает профессиональные услуги по дезинфекции:</w:t>
      </w: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>Уничтожение грибков, бактерий, вирусов в жилых и не жилых помещениях,</w:t>
      </w: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>на производственных, складских или коммерческих территориях.</w:t>
      </w:r>
    </w:p>
    <w:p>
      <w:pPr>
        <w:spacing w:after="0" w:beforeAutospacing="0" w:afterAutospacing="0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Цены на обработку помещений</w:t>
      </w:r>
    </w:p>
    <w:tbl>
      <w:tblPr>
        <w:tblW w:w="10090" w:type="dxa"/>
        <w:jc w:val="center"/>
        <w:tblLayout w:type="fixed"/>
      </w:tblPr>
      <w:tblGrid/>
      <w:tr>
        <w:trPr>
          <w:trHeight w:hRule="atLeast" w:val="618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Кв. метры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Дезин</w:t>
            </w:r>
            <w:r>
              <w:rPr>
                <w:b w:val="1"/>
              </w:rPr>
              <w:t>ф</w:t>
            </w:r>
            <w:r>
              <w:rPr>
                <w:b w:val="1"/>
              </w:rPr>
              <w:t>екция</w:t>
            </w:r>
          </w:p>
        </w:tc>
      </w:tr>
      <w:tr>
        <w:tblPrEx>
          <w:tblCellSpacing w:w="-5" w:type="nil"/>
        </w:tblPrEx>
        <w:trPr>
          <w:trHeight w:hRule="atLeast" w:val="374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До 50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договорная</w:t>
            </w:r>
          </w:p>
        </w:tc>
      </w:tr>
      <w:tr>
        <w:tblPrEx>
          <w:tblCellSpacing w:w="-5" w:type="nil"/>
        </w:tblPrEx>
        <w:trPr>
          <w:trHeight w:hRule="atLeast" w:val="338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51- 100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80 руб./кв.м</w:t>
            </w:r>
          </w:p>
        </w:tc>
      </w:tr>
      <w:tr>
        <w:tblPrEx>
          <w:tblCellSpacing w:w="-5" w:type="nil"/>
        </w:tblPrEx>
        <w:trPr>
          <w:trHeight w:hRule="atLeast" w:val="301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101-300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50 руб./кв.м</w:t>
            </w:r>
          </w:p>
        </w:tc>
      </w:tr>
      <w:tr>
        <w:tblPrEx>
          <w:tblCellSpacing w:w="-5" w:type="nil"/>
        </w:tblPrEx>
        <w:trPr>
          <w:trHeight w:hRule="atLeast" w:val="270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301-500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30 руб./кв.м</w:t>
            </w:r>
          </w:p>
        </w:tc>
      </w:tr>
      <w:tr>
        <w:tblPrEx>
          <w:tblCellSpacing w:w="-5" w:type="nil"/>
        </w:tblPrEx>
        <w:trPr>
          <w:trHeight w:hRule="atLeast" w:val="45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501-1000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20 руб./кв.м</w:t>
            </w:r>
          </w:p>
        </w:tc>
      </w:tr>
      <w:tr>
        <w:tblPrEx>
          <w:tblCellSpacing w:w="-5" w:type="nil"/>
        </w:tblPrEx>
        <w:trPr>
          <w:trHeight w:hRule="atLeast" w:val="45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От 1001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10 руб./кв.м</w:t>
            </w:r>
          </w:p>
        </w:tc>
      </w:tr>
    </w:tbl>
    <w:p>
      <w:pPr>
        <w:jc w:val="center"/>
        <w:rPr>
          <w:rFonts w:ascii="Times New Roman" w:hAnsi="Times New Roman"/>
          <w:u w:val="single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jc w:val="center"/>
      </w:pPr>
      <w:r>
        <w:rPr>
          <w:sz w:val="24"/>
        </w:rPr>
        <w:t xml:space="preserve">Работы проводятся в соответствии с Федеральным законом </w:t>
      </w:r>
      <w:r>
        <w:t xml:space="preserve"> 52-ФЗ «О санитарно-эпидемиологическом благополучии населения», Документы, которыми необходимо руководствоваться для проведения дезинфекционных мероприятий при COVID-2019: 1. Письмо Роспотребнадзора от 23.01.2020 г. №02/770-2020-32 Об инструкции по проведению дезинфекционных мероприятий для профилактики заболеваний, вызываемых коронавирусами. С приложением (Инструкция по проведению дезинфекционных мероприятий для профилактики заболеваний вызываемых коронавирусами 2. Дополнение к первому письму: новое письмо от 27.03.2020 г. №0/5225-2020-24 «О проведении дезинфекционных мероприятий» 3. Инструкция Роспотребнадзора от 27.03.2020 № 02/5210-2020-24 «О проведении дезинфекционных мероприятий в офисных знаниях» 4. Письмо Роспотребнадзора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 5. Письмо Роспотребнадзора от 25 января 2020 года N 02/847-2020-27 «О направлении предварительных рекомендаций по предупреждению распространения новой коронавирусной инфекции в медицинских организациях»), прочих санитарных правил и нормативных документов </w:t>
      </w:r>
      <w:bookmarkStart w:id="0" w:name="_GoBack"/>
      <w:bookmarkEnd w:id="0"/>
      <w:r>
        <w:t>Законодательства Российской Федерации</w:t>
      </w:r>
    </w:p>
    <w:p>
      <w:pPr>
        <w:spacing w:after="0" w:beforeAutospacing="0" w:afterAutospacing="0"/>
        <w:jc w:val="center"/>
        <w:rPr>
          <w:b w:val="1"/>
          <w:i w:val="1"/>
          <w:sz w:val="24"/>
        </w:rPr>
      </w:pPr>
      <w:r>
        <w:rPr>
          <w:b w:val="1"/>
          <w:sz w:val="24"/>
        </w:rPr>
        <w:t>При заключении договора на постоянной основе действуют скидки</w:t>
      </w:r>
      <w:r>
        <w:rPr>
          <w:rFonts w:ascii="Times New Roman" w:hAnsi="Times New Roman"/>
          <w:b w:val="1"/>
          <w:sz w:val="24"/>
        </w:rPr>
        <w:t>.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Надеемся на плодотворное сотрудничество.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Красноярская Служба Дезинфекции</w:t>
      </w:r>
    </w:p>
    <w:p>
      <w:pPr>
        <w:spacing w:after="0" w:beforeAutospacing="0" w:afterAutospacing="0"/>
        <w:jc w:val="center"/>
        <w:rPr>
          <w:b w:val="1"/>
          <w:i w:val="1"/>
          <w:sz w:val="32"/>
        </w:rPr>
      </w:pPr>
      <w:r>
        <w:rPr>
          <w:rFonts w:ascii="Cambria" w:hAnsi="Cambria"/>
          <w:b w:val="1"/>
          <w:i w:val="1"/>
          <w:sz w:val="32"/>
        </w:rPr>
        <w:t>РАБОТАЕМ</w:t>
      </w:r>
      <w:r>
        <w:rPr>
          <w:rFonts w:ascii="Algerian" w:hAnsi="Algerian"/>
          <w:b w:val="1"/>
          <w:i w:val="1"/>
          <w:sz w:val="32"/>
        </w:rPr>
        <w:t xml:space="preserve"> 24/7</w:t>
      </w:r>
      <w:r>
        <w:rPr>
          <w:b w:val="1"/>
          <w:i w:val="1"/>
          <w:sz w:val="32"/>
        </w:rPr>
        <w:t xml:space="preserve"> (без выходных)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тел. +7(983)0705565, 203-55-65</w:t>
      </w:r>
    </w:p>
    <w:p>
      <w:pPr>
        <w:spacing w:after="0" w:beforeAutospacing="0" w:afterAutospacing="0"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b w:val="1"/>
          <w:i w:val="1"/>
          <w:sz w:val="28"/>
        </w:rPr>
        <w:t xml:space="preserve">mail: </w:t>
      </w:r>
      <w:r>
        <w:rPr>
          <w:b w:val="1"/>
          <w:i w:val="1"/>
          <w:sz w:val="28"/>
        </w:rPr>
        <w:fldChar w:fldCharType="begin"/>
      </w:r>
      <w:r>
        <w:rPr>
          <w:b w:val="1"/>
          <w:i w:val="1"/>
          <w:sz w:val="28"/>
        </w:rPr>
        <w:instrText>HYPERLINK "mailto:2858340@mail.ru"</w:instrText>
      </w:r>
      <w:r>
        <w:rPr>
          <w:b w:val="1"/>
          <w:i w:val="1"/>
          <w:sz w:val="28"/>
        </w:rPr>
        <w:fldChar w:fldCharType="separate"/>
      </w:r>
      <w:r>
        <w:rPr>
          <w:rStyle w:val="C2"/>
          <w:rFonts w:ascii="Calibri" w:hAnsi="Calibri"/>
          <w:b w:val="1"/>
          <w:i w:val="1"/>
          <w:sz w:val="28"/>
        </w:rPr>
        <w:t>2858340@mail</w:t>
      </w:r>
      <w:r>
        <w:rPr>
          <w:rStyle w:val="C2"/>
          <w:rFonts w:ascii="Calibri" w:hAnsi="Calibri"/>
          <w:b w:val="1"/>
          <w:i w:val="1"/>
          <w:sz w:val="28"/>
        </w:rPr>
        <w:fldChar w:fldCharType="end"/>
      </w:r>
      <w:r>
        <w:rPr>
          <w:rStyle w:val="C2"/>
          <w:rFonts w:ascii="Calibri" w:hAnsi="Calibri"/>
          <w:b w:val="1"/>
          <w:i w:val="1"/>
          <w:sz w:val="28"/>
        </w:rPr>
        <w:fldChar w:fldCharType="begin"/>
      </w:r>
      <w:r>
        <w:rPr>
          <w:rStyle w:val="C2"/>
          <w:rFonts w:ascii="Calibri" w:hAnsi="Calibri"/>
          <w:b w:val="1"/>
          <w:i w:val="1"/>
          <w:sz w:val="28"/>
        </w:rPr>
        <w:instrText>HYPERLINK "mailto:2858340@mail.ru"</w:instrText>
      </w:r>
      <w:r>
        <w:rPr>
          <w:rStyle w:val="C2"/>
          <w:rFonts w:ascii="Calibri" w:hAnsi="Calibri"/>
          <w:b w:val="1"/>
          <w:i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i w:val="1"/>
          <w:sz w:val="28"/>
        </w:rPr>
        <w:t>.</w:t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end"/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begin"/>
      </w:r>
      <w:r>
        <w:rPr>
          <w:rStyle w:val="C2"/>
          <w:rFonts w:ascii="Times New Roman" w:hAnsi="Times New Roman"/>
          <w:b w:val="1"/>
          <w:i w:val="1"/>
          <w:sz w:val="28"/>
        </w:rPr>
        <w:instrText>HYPERLINK "mailto:2858340@mail.ru"</w:instrText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separate"/>
      </w:r>
      <w:r>
        <w:rPr>
          <w:rStyle w:val="C2"/>
          <w:rFonts w:ascii="Calibri" w:hAnsi="Calibri"/>
          <w:b w:val="1"/>
          <w:i w:val="1"/>
          <w:sz w:val="28"/>
        </w:rPr>
        <w:t>ru</w:t>
      </w:r>
      <w:r>
        <w:rPr>
          <w:rStyle w:val="C2"/>
          <w:rFonts w:ascii="Calibri" w:hAnsi="Calibri"/>
          <w:b w:val="1"/>
          <w:i w:val="1"/>
          <w:sz w:val="28"/>
        </w:rPr>
        <w:fldChar w:fldCharType="end"/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ИП Циценко Николай Андреевич</w:t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 660022 г. Красноярск ул Аэровокзальная 2В</w:t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</w:rPr>
        <w:t xml:space="preserve">ИНН 381712168854 ОГРНИП </w:t>
      </w:r>
      <w:bookmarkStart w:id="1" w:name="_dx_frag_StartFragment"/>
      <w:bookmarkEnd w:id="1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319246800095373</w:t>
      </w:r>
      <w:r>
        <w:t xml:space="preserve"> </w:t>
      </w:r>
      <w:r>
        <w:rPr>
          <w:rFonts w:ascii="Times New Roman" w:hAnsi="Times New Roman"/>
        </w:rPr>
        <w:t xml:space="preserve">       Т. 8(391) 203-55-65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endnotePr>
        <w:pos w:val="sectEnd"/>
      </w:endnotePr>
      <w:type w:val="nextPage"/>
      <w:pgSz w:w="11906" w:h="16838" w:code="9"/>
      <w:pgMar w:left="142" w:right="140" w:top="142" w:bottom="284" w:header="708" w:footer="70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after="160" w:beforeAutospacing="0" w:afterAutospacing="0"/>
    </w:pPr>
    <w:rPr>
      <w:rFonts w:ascii="Calibri" w:hAnsi="Calibri"/>
    </w:rPr>
  </w:style>
  <w:style w:type="paragraph" w:styleId="P1">
    <w:name w:val="Balloon Text"/>
    <w:basedOn w:val="P0"/>
    <w:link w:val="C4"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List Paragraph"/>
    <w:basedOn w:val="P0"/>
    <w:qFormat/>
    <w:pPr>
      <w:ind w:left="720"/>
    </w:pPr>
    <w:rPr/>
  </w:style>
  <w:style w:type="paragraph" w:styleId="P3">
    <w:name w:val="head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rFonts w:ascii="Arial" w:hAnsi="Arial"/>
      <w:color w:val="0563C1"/>
      <w:u w:val="single"/>
    </w:rPr>
  </w:style>
  <w:style w:type="character" w:styleId="C3">
    <w:name w:val="Неразрешенное упоминание1"/>
    <w:rPr>
      <w:rFonts w:ascii="Arial" w:hAnsi="Arial"/>
      <w:color w:val="605E5C"/>
      <w:shd w:val="clear" w:fill="E1DFDD"/>
    </w:rPr>
  </w:style>
  <w:style w:type="character" w:styleId="C4">
    <w:name w:val="Balloon Text Char"/>
    <w:basedOn w:val="C0"/>
    <w:link w:val="P1"/>
    <w:semiHidden/>
    <w:rPr>
      <w:rFonts w:ascii="Tahoma" w:hAnsi="Tahoma"/>
      <w:sz w:val="16"/>
    </w:rPr>
  </w:style>
  <w:style w:type="character" w:styleId="C5">
    <w:name w:val="Balloon Text Char1"/>
    <w:basedOn w:val="C0"/>
    <w:rPr>
      <w:rFonts w:ascii="Tahoma" w:hAnsi="Tahoma"/>
      <w:sz w:val="16"/>
    </w:rPr>
  </w:style>
  <w:style w:type="character" w:styleId="C6">
    <w:name w:val="Unresolved Mention"/>
    <w:rPr>
      <w:rFonts w:ascii="Arial" w:hAnsi="Arial"/>
      <w:color w:val="605E5C"/>
      <w:shd w:val="clear" w:fill="E1DFDD"/>
    </w:rPr>
  </w:style>
  <w:style w:type="character" w:styleId="C7">
    <w:name w:val="Header Char"/>
    <w:basedOn w:val="C0"/>
    <w:link w:val="P3"/>
    <w:semiHidden/>
    <w:rPr/>
  </w:style>
  <w:style w:type="character" w:styleId="C8">
    <w:name w:val="Header Char1"/>
    <w:basedOn w:val="C0"/>
    <w:rPr>
      <w:sz w:val="22"/>
    </w:rPr>
  </w:style>
  <w:style w:type="character" w:styleId="C9">
    <w:name w:val="Footer Char"/>
    <w:basedOn w:val="C0"/>
    <w:link w:val="P4"/>
    <w:semiHidden/>
    <w:rPr/>
  </w:style>
  <w:style w:type="character" w:styleId="C10">
    <w:name w:val="Footer Char1"/>
    <w:basedOn w:val="C0"/>
    <w:rPr>
      <w:sz w:val="22"/>
    </w:rPr>
  </w:style>
  <w:style w:type="character" w:styleId="C11">
    <w:name w:val="line number"/>
    <w:basedOn w:val="C0"/>
    <w:rPr>
      <w:rFonts w:ascii="Arial" w:hAnsi="Arial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